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077CC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077CCE">
              <w:rPr>
                <w:color w:val="C00000"/>
                <w:sz w:val="28"/>
              </w:rPr>
              <w:t>6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077CCE">
              <w:rPr>
                <w:color w:val="C00000"/>
                <w:sz w:val="28"/>
              </w:rPr>
              <w:t>41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680E4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077CCE" w:rsidRPr="00077CCE">
              <w:rPr>
                <w:lang w:val="en-US"/>
              </w:rPr>
              <w:t>GY</w:t>
            </w:r>
            <w:r w:rsidR="00077CCE" w:rsidRPr="00A560B5">
              <w:t>000316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proofErr w:type="gramStart"/>
            <w:r>
              <w:t>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077CCE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5364DD">
              <w:t xml:space="preserve"> «</w:t>
            </w:r>
            <w:proofErr w:type="spellStart"/>
            <w:r w:rsidR="005364DD">
              <w:t>Frame</w:t>
            </w:r>
            <w:proofErr w:type="spellEnd"/>
            <w:r w:rsidR="00941967">
              <w:t>»</w:t>
            </w:r>
            <w:r w:rsidRPr="00ED795C">
              <w:t xml:space="preserve">, </w:t>
            </w:r>
            <w:r w:rsidR="00077CCE">
              <w:t>16</w:t>
            </w:r>
            <w:r w:rsidRPr="00ED795C">
              <w:t>’</w:t>
            </w:r>
            <w:r w:rsidR="00941967" w:rsidRPr="00941967">
              <w:t>/</w:t>
            </w:r>
            <w:r w:rsidR="00077CCE">
              <w:t>41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077CCE">
              <w:t>16</w:t>
            </w:r>
            <w:r>
              <w:rPr>
                <w:lang w:val="en-US"/>
              </w:rPr>
              <w:t>’ (</w:t>
            </w:r>
            <w:r w:rsidR="00077CCE">
              <w:t>41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C1818"/>
    <w:rsid w:val="009E5D38"/>
    <w:rsid w:val="009F2456"/>
    <w:rsid w:val="009F56B1"/>
    <w:rsid w:val="00A21155"/>
    <w:rsid w:val="00A26500"/>
    <w:rsid w:val="00A32FDC"/>
    <w:rsid w:val="00A560B5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22C5"/>
    <w:rsid w:val="00E33FE0"/>
    <w:rsid w:val="00E53226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6998-63ED-4D0C-834E-79B5454C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2016-11-29T15:26:00Z</dcterms:created>
  <dcterms:modified xsi:type="dcterms:W3CDTF">2016-12-01T12:19:00Z</dcterms:modified>
</cp:coreProperties>
</file>